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66A" w:rsidRDefault="0079066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200827"/>
      <w:r w:rsidRPr="0079066A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3971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66A" w:rsidRDefault="0079066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9066A" w:rsidRDefault="0079066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96285" w:rsidRPr="006F7AA6" w:rsidRDefault="0016735D">
      <w:pPr>
        <w:spacing w:after="0" w:line="264" w:lineRule="auto"/>
        <w:ind w:left="12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Программа по информатике (углублённый уровень)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образования, представленных в ФГОС СОО, а также федеральной рабочей программы воспитания.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воспитания и развития обучающихся средствами учебного предмета «Информатика» на углублённом уровне, устанавливает обязательное предметное содержание, предусматривает его структурирование по разделам и темам курса, определяет распределение его по классам (годам изучения), даёт примерное распределение учебных часов по тематическим разделам курса и рекомендуемую (примерную) последовательность их изучения с учётом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Информатика в среднем общем образовании отражает: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Курс информатики для уровня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Результаты углублённого уровня изучения учебного предмета «Информатика» ориентированы на получение компетентностей для </w:t>
      </w: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последующей профессиональной деятельности как в рамках данной предметной области, так и в смежных с ней областях. Они включают в себя: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овладение ключевыми понятиями и закономерностями, на которых строится данная предметная область, распознавание соответствующих им признаков и взаимосвязей, способность демонстрировать различные подходы к изучению явлений, характерных для изучаемой предметной области;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умение решать типовые практические и теоретические задачи, характерные для использования методов и инструментария данной предметной области;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наличие представлений о данной предметной области как целостной теории (совокупности теорий), основных связях со смежными областями знаний.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 рамках углублённого уровня изучения информатики обеспечивается целенаправленная подготовка обучающихся к продолжению образования в организациях профессионального образования по специальностям, непосредственно связанным с цифровыми технологиями, таким как программная инженерия, информационная безопасность, информационные системы и технологии, мобильные системы и сети, большие данные и машинное обучение, промышленный интернет вещей, искусственный интеллект, технологии беспроводной связи, робототехника, квантовые технологии, системы распределённого реестра, технологии виртуальной и дополненной реальностей.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углублённом уровне среднего общего образования – обеспечение дальнейшего развития информационных компетенций обучающегося,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10–11 классах должно обеспечить: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мировоззрения, основанного на понимании роли информатики, информационных и коммуникационных технологий в современном обществе;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основ логического и алгоритмического мышления;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</w:t>
      </w: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эргономического, медицинского и физиологического контекстов информационных технологий;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6F7AA6">
        <w:rPr>
          <w:rFonts w:ascii="Times New Roman" w:hAnsi="Times New Roman"/>
          <w:b/>
          <w:color w:val="000000"/>
          <w:sz w:val="28"/>
          <w:lang w:val="ru-RU"/>
        </w:rPr>
        <w:t>«Цифровая грамотность»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 посвящён вопросам устройства компьютеров и других элементов цифрового окружения, включая компьютерные сети, использованию средств операционной системы, работе в сети Интернет и использованию интернет-сервисов, информационной безопасности.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6F7AA6">
        <w:rPr>
          <w:rFonts w:ascii="Times New Roman" w:hAnsi="Times New Roman"/>
          <w:b/>
          <w:color w:val="000000"/>
          <w:sz w:val="28"/>
          <w:lang w:val="ru-RU"/>
        </w:rPr>
        <w:t>«Теоретические основы информатики»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6F7AA6">
        <w:rPr>
          <w:rFonts w:ascii="Times New Roman" w:hAnsi="Times New Roman"/>
          <w:b/>
          <w:color w:val="000000"/>
          <w:sz w:val="28"/>
          <w:lang w:val="ru-RU"/>
        </w:rPr>
        <w:t>«Алгоритмы и программирование</w:t>
      </w:r>
      <w:r w:rsidRPr="006F7AA6">
        <w:rPr>
          <w:rFonts w:ascii="Times New Roman" w:hAnsi="Times New Roman"/>
          <w:color w:val="000000"/>
          <w:sz w:val="28"/>
          <w:lang w:val="ru-RU"/>
        </w:rPr>
        <w:t>» направлен на развитие алгоритмического мышления, разработку алгоритмов и оценку их сложности, формирование навыков реализации программ на языках программирования высокого уровня.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6F7AA6">
        <w:rPr>
          <w:rFonts w:ascii="Times New Roman" w:hAnsi="Times New Roman"/>
          <w:b/>
          <w:color w:val="000000"/>
          <w:sz w:val="28"/>
          <w:lang w:val="ru-RU"/>
        </w:rPr>
        <w:t>«Информационные технологии»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 посвящён вопросам применения информационных технологий, реализованных в прикладных программных продуктах и интернет-сервисах, в том числе в задачах анализа данных, использованию баз данных и электронных таблиц для решения прикладных задач.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 приведённом далее содержании учебного предмета «Информатика» курсивом выделены дополнительные темы, которые не входят в обязательную программу обучения, но могут быть предложены для изучения отдельным мотивированным и способным обучающимся.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Углублённый уровень изучения информатики рекомендуется для технологического профиля, ориентированного на инженерную и информационную сферы деятельности. Углублённый уровень изучения информатики обеспечивает: подготовку обучающихся, ориентированных на специальности в области информационных технологий и инженерные специальности, участие в проектной и исследовательской деятельности, связанной с современными направлениями отрасли информационно-</w:t>
      </w: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коммуникационных технологий, подготовку к участию в олимпиадах и сдаче Единого государственного экзамена по информатике.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‌</w:t>
      </w:r>
      <w:bookmarkStart w:id="1" w:name="00eb42d4-8653-4d3e-963c-73e771f3fd24"/>
      <w:r w:rsidRPr="006F7AA6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информатики – 272 часа: в 10 классе – 136 часов (4 часа в неделю), в 11 классе – 136 часов (4 часа в неделю</w:t>
      </w:r>
      <w:proofErr w:type="gramStart"/>
      <w:r w:rsidRPr="006F7AA6">
        <w:rPr>
          <w:rFonts w:ascii="Times New Roman" w:hAnsi="Times New Roman"/>
          <w:color w:val="000000"/>
          <w:sz w:val="28"/>
          <w:lang w:val="ru-RU"/>
        </w:rPr>
        <w:t>).</w:t>
      </w:r>
      <w:bookmarkEnd w:id="1"/>
      <w:r w:rsidRPr="006F7AA6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6F7AA6">
        <w:rPr>
          <w:rFonts w:ascii="Times New Roman" w:hAnsi="Times New Roman"/>
          <w:color w:val="000000"/>
          <w:sz w:val="28"/>
          <w:lang w:val="ru-RU"/>
        </w:rPr>
        <w:t>‌</w:t>
      </w:r>
    </w:p>
    <w:p w:rsidR="00596285" w:rsidRPr="006F7AA6" w:rsidRDefault="00596285">
      <w:pPr>
        <w:rPr>
          <w:lang w:val="ru-RU"/>
        </w:rPr>
        <w:sectPr w:rsidR="00596285" w:rsidRPr="006F7AA6">
          <w:pgSz w:w="11906" w:h="16383"/>
          <w:pgMar w:top="1134" w:right="850" w:bottom="1134" w:left="1701" w:header="720" w:footer="720" w:gutter="0"/>
          <w:cols w:space="720"/>
        </w:sectPr>
      </w:pPr>
    </w:p>
    <w:p w:rsidR="00596285" w:rsidRPr="006F7AA6" w:rsidRDefault="0016735D">
      <w:pPr>
        <w:spacing w:after="0" w:line="264" w:lineRule="auto"/>
        <w:ind w:left="120"/>
        <w:jc w:val="both"/>
        <w:rPr>
          <w:lang w:val="ru-RU"/>
        </w:rPr>
      </w:pPr>
      <w:bookmarkStart w:id="2" w:name="block-4200829"/>
      <w:bookmarkEnd w:id="0"/>
      <w:r w:rsidRPr="006F7AA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left="12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Принципы работы компьютеров и компьютерных систем. Архитектура фон Неймана. Автоматическое выполнение программы процессором. Оперативная, постоянная и долговременная память. Обмен данными с помощью шин. Контроллеры внешних устройств. Прямой доступ к памяти.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Распределённые вычислительные системы и обработка больших данных. Мобильные цифровые устройства и их роль в коммуникациях. Встроенные компьютеры. Микроконтроллеры. Роботизированные производства.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 и компьютерных систем. Виды программного обеспечения и их назначение. Особенности программного обеспечения мобильных устройств. Параллельное программирование. Системное программное обеспечение. Операционные системы. Утилиты. Драйверы устройств. Инсталляция и деинсталляция программного обеспечения.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Файловые системы. Принципы размещения и именования файлов в долговременной памяти. Шаблоны для описания групп файлов.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Проприетарное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 за неправомерное использование программного обеспечения и цифровых ресурсов.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Принципы построения и аппаратные компоненты компьютерных сетей. Сетевые протоколы. Сеть Интернет. Адресация в сети Интернет. Протоколы стека </w:t>
      </w:r>
      <w:r>
        <w:rPr>
          <w:rFonts w:ascii="Times New Roman" w:hAnsi="Times New Roman"/>
          <w:color w:val="000000"/>
          <w:sz w:val="28"/>
        </w:rPr>
        <w:t>TCP</w:t>
      </w:r>
      <w:r w:rsidRPr="006F7AA6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IP</w:t>
      </w:r>
      <w:r w:rsidRPr="006F7AA6">
        <w:rPr>
          <w:rFonts w:ascii="Times New Roman" w:hAnsi="Times New Roman"/>
          <w:color w:val="000000"/>
          <w:sz w:val="28"/>
          <w:lang w:val="ru-RU"/>
        </w:rPr>
        <w:t>. Система доменных имён.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Разделение </w:t>
      </w:r>
      <w:r>
        <w:rPr>
          <w:rFonts w:ascii="Times New Roman" w:hAnsi="Times New Roman"/>
          <w:color w:val="000000"/>
          <w:sz w:val="28"/>
        </w:rPr>
        <w:t>IP</w:t>
      </w:r>
      <w:r w:rsidRPr="006F7AA6">
        <w:rPr>
          <w:rFonts w:ascii="Times New Roman" w:hAnsi="Times New Roman"/>
          <w:color w:val="000000"/>
          <w:sz w:val="28"/>
          <w:lang w:val="ru-RU"/>
        </w:rPr>
        <w:t>-сети на подсети с помощью масок подсетей. Сетевое администрирование. Получение данных о сетевых настройках компьютера. Проверка наличия связи с узлом сети. Определение маршрута движения пакетов.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сети Интернет. Сервисы Интернета. Геоинформационные системы.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Геолокационные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сервисы реального времени </w:t>
      </w: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 xml:space="preserve">(например, локация мобильных телефонов, определение загруженности автомагистралей),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интернет-торговля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>, бронирование билетов и гостиниц.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Шифрование данных. Симметричные и несимметричные шифры. Шифры простой замены. Шифр Цезаря. Шифр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Виженера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. Алгоритм шифрования </w:t>
      </w:r>
      <w:r>
        <w:rPr>
          <w:rFonts w:ascii="Times New Roman" w:hAnsi="Times New Roman"/>
          <w:color w:val="000000"/>
          <w:sz w:val="28"/>
        </w:rPr>
        <w:t>RSA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Информация, данные и знания. Информационные процессы в природе, технике и обществе.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Непрерывные и дискретные величины и сигналы. Необходимость дискретизации информации, предназначенной для хранения, передачи и обработки в цифровых системах.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Двоичное кодирование. Равномерные и неравномерные коды. Декодирование сообщений, записанных с помощью неравномерных кодов. Условие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>. Построение однозначно декодируемых кодов с помощью дерева. Единицы измерения количества информации. Алфавитный подход к оценке количества информации.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позиционной системе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6F7AA6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6F7AA6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6F7AA6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. Перевод конечной десятичной дроби в </w:t>
      </w:r>
      <w:r>
        <w:rPr>
          <w:rFonts w:ascii="Times New Roman" w:hAnsi="Times New Roman"/>
          <w:color w:val="000000"/>
          <w:sz w:val="28"/>
        </w:rPr>
        <w:t>P</w:t>
      </w:r>
      <w:r w:rsidRPr="006F7AA6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. Двоичная, восьмеричная и шестнадцатеричная системы счисления, связь между ними. Арифметические </w:t>
      </w: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операции в позиционных системах счисления. Троичная уравновешенная система счисления. Двоично-десятичная система счисления.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6F7AA6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графических данных при заданных разрешении и глубине кодирования цвета. Цветовые модели. Векторное кодирование. Форматы графических файлов. Трёхмерная графика. Фрактальная графика.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Алгебра логики. Понятие высказывания.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Высказывательные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формы (предикаты). Кванторы существования и всеобщности.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Логические операции. Таблицы истинности. Логические выражения. Логические тождества. Доказательство логических тождеств с помощью таблиц истинности. Логические операции и операции над множествами.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Законы алгебры логики. Эквивалентные преобразования логических выражений. Логические уравнения и системы уравнений.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Логические функции. Зависимость количества возможных логических функций от количества аргументов. Полные системы логических функций.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Канонические формы логических выражений. Совершенные дизъюнктивные и конъюнктивные нормальные формы, алгоритмы их построения по таблице истинности.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Логические элементы в составе компьютера. Триггер. Сумматор. Многоразрядный сумматор. Построение схем на логических элементах по заданному логическому выражению. Запись логического выражения по логической схеме.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чисел в памяти компьютера. Ограниченность диапазона чисел при ограничении количества разрядов. Переполнение разрядной сетки.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Беззнаковые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и знаковые данные. Знаковый бит. Двоичный дополнительный код отрицательных чисел.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Побитовые логические операции. Логический, арифметический и циклический сдвиги. Шифрование с помощью побитовой операции «исключающее ИЛИ».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Представление вещественных чисел в памяти компьютера. Значащая часть и порядок числа. Диапазон значений вещественных чисел. Проблемы хранения вещественных чисел, связанные с ограничением количества разрядов. Выполнение операций с вещественными числами, накопление ошибок при вычислениях.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lastRenderedPageBreak/>
        <w:t>Алгоритмы и программирование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Этапы решения задач на компьютере. Инструментальные средства: транслятор, отладчик, профилировщик. Компиляция и интерпретация программ. Виртуальные машины.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Интегрированная среда разработки. Методы отладки программ. Использование трассировочных таблиц. Отладочный вывод. Пошаговое выполнение программы. Точки останова. Просмотр значений переменных.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6F7AA6">
        <w:rPr>
          <w:rFonts w:ascii="Times New Roman" w:hAnsi="Times New Roman"/>
          <w:color w:val="000000"/>
          <w:sz w:val="28"/>
          <w:lang w:val="ru-RU"/>
        </w:rPr>
        <w:t>#). Типы данных: целочисленные, вещественные, символьные, логические. Ветвления. Сложные условия. Циклы с условием. Циклы по переменной. Взаимозаменяемость различных видов циклов. Инвариант цикла. Составление цикла с использованием заранее определённого инварианта цикла.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Документирование программ. Использование комментариев. Подготовка описания программы и инструкции для пользователя.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Алгоритмы обработки натуральных чисел, записанных в позиционных системах счисления: разбиение записи числа на отдельные цифры, нахождение суммы и произведения цифр, нахождение максимальной (минимальной) цифры.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Нахождение всех простых чисел в заданном диапазоне. Представление числа в виде набора простых сомножителей. Алгоритм быстрого возведения в степень.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Обработка данных, хранящихся в файлах. Текстовые и двоичные файлы. Файловые переменные (файловые указатели). Чтение из файла. Запись в файл.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Разбиение задачи на подзадачи. Подпрограммы (процедуры и функции). Рекурсия. Рекурсивные объекты (фракталы). Рекурсивные процедуры и функции. Использование стека для организации рекурсивных вызовов.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Использование стандартной библиотеки языка программирования. Подключение библиотек подпрограмм сторонних производителей. Модульный принцип построения программ.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Численные методы. Точное и приближённое решения задачи. Численные методы решения уравнений: метод перебора, метод половинного деления. Приближённое вычисление длин кривых. Вычисление площадей фигур с помощью численных методов (метод прямоугольников, метод трапеций). Поиск максимума (минимума) функции одной переменной методом половинного деления.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Обработка символьных данных. Встроенные функции языка программирования для обработки символьных строк. Алгоритмы обработки символьных строк: подсчёт количества появлений символа в строке, разбиение строки на слова по пробельным символам, поиск подстроки внутри данной строки, замена найденной подстроки на другую строку. Генерация всех слов в некотором алфавите, удовлетворяющих заданным ограничениям. Преобразование числа в символьную строку и обратно.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Массивы и последовательности чисел.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условию). Линейный поиск заданного значения в массиве.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(метод пузырька, метод выбора, сортировка вставками). Сортировка слиянием. Быстрая сортировка массива (алгоритм </w:t>
      </w:r>
      <w:proofErr w:type="spellStart"/>
      <w:r>
        <w:rPr>
          <w:rFonts w:ascii="Times New Roman" w:hAnsi="Times New Roman"/>
          <w:color w:val="000000"/>
          <w:sz w:val="28"/>
        </w:rPr>
        <w:t>QuickSort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>). Двоичный поиск в отсортированном массиве.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Двумерные массивы (матрицы). Алгоритмы обработки двумерных массивов: заполнение двумерного числового массива по заданным правилам, поиск элемента в двумерном массиве, вычисление максимума (минимума) и суммы элементов двумерного массива, перестановка строк и столбцов двумерного массива.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Коллективная работа с документами. Инструменты рецензирования в текстовых процессорах. Облачные сервисы. Деловая переписка. Реферат. Правила цитирования источников и оформления библиографических ссылок. Оформление списка литературы. Знакомство с компьютерной вёрсткой текста. Технические средства ввода текста. Специализированные средства редактирования математических текстов.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Программные средства и интернет-сервисы для обработки и представления данных. Большие данные. Машинное обучение. Интеллектуальный анализ данных.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Анализ данных с помощью электронных таблиц. Вычисление суммы, среднего арифметического, наибольшего (наименьшего) значения диапазона. Вычисление коэффициента корреляции двух рядов данных. Построение столбчатых, линейчатых и круговых диаграмм. Построение графиков функций. Подбор линии тренда, решение задач прогнозирования.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Численное решение уравнений с помощью подбора параметра. Оптимизация как поиск наилучшего решения в заданных условиях. Целевая функция, ограничения. Локальные и глобальный минимумы целевой функции. Решение задач оптимизации с помощью электронных таблиц.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left="12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Теоретические подходы к оценке количества информации. Закон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аддитивности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информации. Формула Хартли. Информация и вероятность. Формула Шеннона.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Алгоритмы сжатия данных. Алгоритм </w:t>
      </w:r>
      <w:r>
        <w:rPr>
          <w:rFonts w:ascii="Times New Roman" w:hAnsi="Times New Roman"/>
          <w:color w:val="000000"/>
          <w:sz w:val="28"/>
        </w:rPr>
        <w:t>RLE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. Алгоритм Хаффмана. Алгоритм </w:t>
      </w:r>
      <w:r>
        <w:rPr>
          <w:rFonts w:ascii="Times New Roman" w:hAnsi="Times New Roman"/>
          <w:color w:val="000000"/>
          <w:sz w:val="28"/>
        </w:rPr>
        <w:t>LZW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. Алгоритмы сжатия данных с потерями. Уменьшение глубины кодирования цвета. Основные идеи алгоритмов сжатия </w:t>
      </w:r>
      <w:r>
        <w:rPr>
          <w:rFonts w:ascii="Times New Roman" w:hAnsi="Times New Roman"/>
          <w:color w:val="000000"/>
          <w:sz w:val="28"/>
        </w:rPr>
        <w:t>JPEG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MP</w:t>
      </w:r>
      <w:r w:rsidRPr="006F7AA6">
        <w:rPr>
          <w:rFonts w:ascii="Times New Roman" w:hAnsi="Times New Roman"/>
          <w:color w:val="000000"/>
          <w:sz w:val="28"/>
          <w:lang w:val="ru-RU"/>
        </w:rPr>
        <w:t>3.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Скорость передачи данных. Зависимость времени передачи от информационного объёма данных и характеристик канала связи. Причины возникновения ошибок при передаче данных. Коды, позволяющие обнаруживать и исправлять ошибки, возникающие при передаче данных. Расстояние Хэмминга. Кодирование с повторением битов. Коды Хэмминга.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Системный эффект. Управление как информационный процесс. Обратная связь.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Модели и моделирование. Цель моделирования. Соответствие модели моделируемому объекту или процессу, цели моделирования. Формализация прикладных задач.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Графы. Основные понятия. Виды графов. Описание графов с помощью матриц смежности, весовых матриц, списков смежности.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Деревья поиска. Способы обхода дерева. Представление арифметических выражений в виде дерева. Дискретные игры двух игроков с полной информацией. Построение дерева перебора вариантов, </w:t>
      </w: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описание стратегии игры в табличной форме. Выигрышные и проигрышные позиции. Выигрышные стратегии.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Когнитивные сервисы.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 Нейронные сети.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Формализация понятия алгоритма. Машина Тьюринга как универсальная модель вычислений. Тезис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Чёрча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–Тьюринга. 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Оценка сложности вычислений. Время работы и объём используемой памяти, их зависимость от размера исходных данных. Оценка асимптотической сложности алгоритмов. Алгоритмы полиномиальной сложности. Переборные алгоритмы. Примеры различных алгоритмов решения одной задачи, которые имеют различную сложность.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Поиск простых чисел в заданном диапазоне с помощью алгоритма «решето Эратосфена».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Многоразрядные целые числа, задачи длинной арифметики.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Словари (ассоциативные массивы, отображения). Хэш-таблицы. Построение алфавитно-частотного словаря для заданного текста.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Стеки. Анализ правильности скобочного выражения. Вычисление арифметического выражения, записанного в постфиксной форме.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Очереди. Использование очереди для временного хранения данных.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Алгоритмы на графах. Построение минимального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остовного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дерева взвешенного связного неориентированного графа. Количество различных путей между вершинами ориентированного ациклического графа. Алгоритм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Дейкстры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Деревья. Реализация дерева с помощью ссылочных структур. Двоичные (бинарные) деревья. Построение дерева для заданного арифметического выражения. Рекурсивные алгоритмы обхода дерева. Использование стека и очереди для обхода дерева.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Динамическое программирование как метод решения задач с сохранением промежуточных результатов. Задачи, решаемые с помощью динамического программирования: вычисление рекурсивных функций, подсчёт количества вариантов, задачи оптимизации.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Понятие об объектно-ориентированном программировании. Объекты и классы. Свойства и методы объектов. Объектно-ориентированный анализ. </w:t>
      </w: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Разработка программ на основе объектно-ориентированного подхода. Инкапсуляция, наследование, полиморфизм.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Среды быстрой разработки программ. Проектирование интерфейса пользователя. Использование готовых управляемых элементов для построения интерфейса.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Обзор языков программирования. Понятие о парадигмах программирования. 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Дискретизация при математическом моделировании непрерывных процессов. Моделирование движения. Моделирование биологических систем. Математические модели в экономике. Вычислительные эксперименты с моделями. 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Обработка результатов эксперимента. Метод наименьших квадратов. Оценка числовых параметров моделируемых объектов и процессов. Восстановление зависимостей по результатам эксперимента.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Вероятностные модели. Методы Монте-Карло. Имитационное моделирование. Системы массового обслуживания.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данных. Запросы на выборку данных. Запросы с параметрами. Вычисляемые поля в запросах.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Многотабличные базы данных. Типы связей между таблицами. Внешний ключ. Целостность базы данных. Запросы к многотабличным базам данных. 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Интернет-приложения. Понятие о серверной и клиентской частях сайта. Технология «клиент – сервер», её достоинства и недостатки. Основы языка </w:t>
      </w:r>
      <w:r>
        <w:rPr>
          <w:rFonts w:ascii="Times New Roman" w:hAnsi="Times New Roman"/>
          <w:color w:val="000000"/>
          <w:sz w:val="28"/>
        </w:rPr>
        <w:t>HTML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 и каскадных таблиц стилей (</w:t>
      </w:r>
      <w:r>
        <w:rPr>
          <w:rFonts w:ascii="Times New Roman" w:hAnsi="Times New Roman"/>
          <w:color w:val="000000"/>
          <w:sz w:val="28"/>
        </w:rPr>
        <w:t>CSS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). Сценарии на языке </w:t>
      </w:r>
      <w:r>
        <w:rPr>
          <w:rFonts w:ascii="Times New Roman" w:hAnsi="Times New Roman"/>
          <w:color w:val="000000"/>
          <w:sz w:val="28"/>
        </w:rPr>
        <w:t>JavaScript</w:t>
      </w:r>
      <w:r w:rsidRPr="006F7AA6">
        <w:rPr>
          <w:rFonts w:ascii="Times New Roman" w:hAnsi="Times New Roman"/>
          <w:color w:val="000000"/>
          <w:sz w:val="28"/>
          <w:lang w:val="ru-RU"/>
        </w:rPr>
        <w:t>. Формы на веб-странице.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Размещение веб-сайтов. Услуга хостинга. Загрузка файлов на сайт.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устройств). Графический редактор. Разрешение. Кадрирование. Исправление перспективы. Гистограмма. Коррекция уровней, коррекция цвета. Обесцвечивание цветных изображений. Ретушь. Работа с областями. Фильтры.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Многослойные изображения. Текстовые слои. Маска слоя. Каналы. Сохранение выделенной области. Подготовка иллюстраций для веб-сайтов. Анимированные изображения.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Векторная графика. Примитивы. Изменение порядка элементов. Выравнивание, распределение. Группировка. Кривые. Форматы векторных рисунков. Использование контуров. Векторизация растровых изображений.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Принципы построения и редактирования трёхмерных моделей. Сеточные модели. Материалы. Моделирование источников освещения. Камеры. Аддитивные технологии (3</w:t>
      </w:r>
      <w:r>
        <w:rPr>
          <w:rFonts w:ascii="Times New Roman" w:hAnsi="Times New Roman"/>
          <w:color w:val="000000"/>
          <w:sz w:val="28"/>
        </w:rPr>
        <w:t>D</w:t>
      </w:r>
      <w:r w:rsidRPr="006F7AA6">
        <w:rPr>
          <w:rFonts w:ascii="Times New Roman" w:hAnsi="Times New Roman"/>
          <w:color w:val="000000"/>
          <w:sz w:val="28"/>
          <w:lang w:val="ru-RU"/>
        </w:rPr>
        <w:t>-принтеры). Понятие о виртуальной реальности и дополненной реальности.</w:t>
      </w:r>
    </w:p>
    <w:p w:rsidR="00596285" w:rsidRPr="006F7AA6" w:rsidRDefault="00596285">
      <w:pPr>
        <w:rPr>
          <w:lang w:val="ru-RU"/>
        </w:rPr>
        <w:sectPr w:rsidR="00596285" w:rsidRPr="006F7AA6">
          <w:pgSz w:w="11906" w:h="16383"/>
          <w:pgMar w:top="1134" w:right="850" w:bottom="1134" w:left="1701" w:header="720" w:footer="720" w:gutter="0"/>
          <w:cols w:space="720"/>
        </w:sectPr>
      </w:pPr>
    </w:p>
    <w:p w:rsidR="00596285" w:rsidRPr="006F7AA6" w:rsidRDefault="0016735D">
      <w:pPr>
        <w:spacing w:after="0" w:line="264" w:lineRule="auto"/>
        <w:ind w:left="120"/>
        <w:jc w:val="both"/>
        <w:rPr>
          <w:lang w:val="ru-RU"/>
        </w:rPr>
      </w:pPr>
      <w:bookmarkStart w:id="3" w:name="block-4200830"/>
      <w:bookmarkEnd w:id="2"/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ИНФОРМАТИКЕ (УГЛУБЛЁННЫЙ УРОВЕНЬ) НА УРОВНЕ СРЕДНЕГО ОБЩЕГО ОБРАЗОВАНИЯ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left="12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основанного на использовании информационных технологий;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в том числе за счёт соблюдения </w:t>
      </w: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требований безопасной эксплуатации средств информационных и коммуникационных технологий;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науки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>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внутренней мотивации</w:t>
      </w:r>
      <w:r w:rsidRPr="006F7AA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 w:rsidRPr="006F7AA6">
        <w:rPr>
          <w:rFonts w:ascii="Times New Roman" w:hAnsi="Times New Roman"/>
          <w:color w:val="000000"/>
          <w:sz w:val="28"/>
          <w:lang w:val="ru-RU"/>
        </w:rPr>
        <w:t>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6F7AA6">
        <w:rPr>
          <w:rFonts w:ascii="Times New Roman" w:hAnsi="Times New Roman"/>
          <w:i/>
          <w:color w:val="000000"/>
          <w:sz w:val="28"/>
          <w:lang w:val="ru-RU"/>
        </w:rPr>
        <w:t>,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социальных навыков</w:t>
      </w:r>
      <w:r w:rsidRPr="006F7AA6">
        <w:rPr>
          <w:rFonts w:ascii="Times New Roman" w:hAnsi="Times New Roman"/>
          <w:i/>
          <w:color w:val="000000"/>
          <w:sz w:val="28"/>
          <w:lang w:val="ru-RU"/>
        </w:rPr>
        <w:t>,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 включающих способность выстраивать отношения с другими людьми, заботиться, проявлять интерес и разрешать конфликты.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left="12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6F7AA6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результаты, отраженные в универсальных учебных действиях, а именно –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left="12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рассматривать её всесторонне;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явлениях;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владеть научной терминологией, ключевыми понятиями и методами;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left="12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взаимодействия, аргументированно вести диалог, уметь смягчать конфликтные ситуации;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развёрнуто и логично излагать свою точку зрения с использованием языковых средств.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6F7AA6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6F7AA6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left="12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оснований, использовать приёмы рефлексии для оценки ситуации, выбора верного решения;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left="120"/>
        <w:jc w:val="both"/>
        <w:rPr>
          <w:lang w:val="ru-RU"/>
        </w:rPr>
      </w:pPr>
      <w:r w:rsidRPr="006F7AA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96285" w:rsidRPr="006F7AA6" w:rsidRDefault="00596285">
      <w:pPr>
        <w:spacing w:after="0" w:line="264" w:lineRule="auto"/>
        <w:ind w:left="120"/>
        <w:jc w:val="both"/>
        <w:rPr>
          <w:lang w:val="ru-RU"/>
        </w:rPr>
      </w:pP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углублённого уровня </w:t>
      </w:r>
      <w:r w:rsidRPr="006F7AA6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использования, умение классифицировать основные задачи анализа данных (прогнозирование, классификация, кластеризация, анализ отклонений), понимать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владение навыками работы с операционными системами, основными видами программного обеспечения для решения учебных задач по выбранной специализации;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 базовых принципах организации и функционирования компьютерных сетей, об общих принципах разработки и функционирования интернет-приложений;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данных, 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работы в сети Интернет;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дискретизации, умение определять среднюю скорость передачи данных, оценивать изменение времени передачи при изменении информационного объёма данных и характеристик канала связи;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умение использовать при решении задач свойства позиционной записи чисел, алгоритма построения записи числа в позиционной системе счисления с заданным основанием и построения числа по строке, содержащей запись этого числа в позиционной системе счисления с заданным основанием, умение выполнять арифметические операции в позиционных системах счисления;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умение выполнять преобразования логических выражений, используя законы алгебры логики, умение строить логическое выражение в дизъюнктивной и конъюнктивной нормальных формах по заданной таблице истинности, исследовать область истинности высказывания, содержащего переменные, решать несложные логические уравнения и системы уравнений;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понимание базовых алгоритмов обработки числовой и текстовой информации (запись чисел в позиционной системе счисления, нахождение всех простых чисел в заданном диапазоне, обработка многоразрядных целых чисел, анализ символьных строк и других), алгоритмов поиска и сортировки, умение определять сложность изучаемых в курсе базовых алгоритмов (суммирование элементов массива, сортировка массива, переборные алгоритмы, двоичный поиск) и приводить примеры нескольких алгоритмов разной сложности для решения одной задачи;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владение универсальным языком программирования высокого уровня (</w:t>
      </w:r>
      <w:r>
        <w:rPr>
          <w:rFonts w:ascii="Times New Roman" w:hAnsi="Times New Roman"/>
          <w:color w:val="000000"/>
          <w:sz w:val="28"/>
        </w:rPr>
        <w:t>Python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6F7AA6">
        <w:rPr>
          <w:rFonts w:ascii="Times New Roman" w:hAnsi="Times New Roman"/>
          <w:color w:val="000000"/>
          <w:sz w:val="28"/>
          <w:lang w:val="ru-RU"/>
        </w:rPr>
        <w:t>#), представлениями о базовых типах данных и структурах данных, умение использовать основные управляющие конструкции, умение осуществлять анализ предложенной программы: определять результаты работы программы при заданных исходных данных, определять, при каких исходных данных возможно получение указанных результатов, выявлять данные, которые могут привести к ошибке в работе программы, формулировать предложения по улучшению программного кода;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уравнений, выбор оптимального решения, подбор линии тренда, решение задач прогнозирования).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углублённого уровня </w:t>
      </w:r>
      <w:r w:rsidRPr="006F7AA6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6F7AA6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 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умение строить неравномерные коды, допускающие однозначное декодирование сообщений (префиксные коды), использовать простейшие коды, которые позволяют обнаруживать и исправлять ошибки при передаче данных, строить код, обеспечивающий наименьшую возможную среднюю длину сообщения при известной частоте символов, пояснять принципы работы простых алгоритмов сжатия данных;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умение решать алгоритмические задачи, связанные с анализом графов (задачи построения оптимального пути между вершинами графа, определения количества различных путей между вершинами ориентированного ациклического графа), умение использовать деревья при анализе и построении кодов и для представления арифметических выражений, при решении задач поиска и сортировки, умение строить дерево игры по заданному алгоритму, разрабатывать и обосновывать выигрышную стратегию игры;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умение разрабатывать и реализовывать в виде программ базовые алгоритмы, умение использовать в программах данные различных типов с учётом ограничений на диапазон их возможных значений, применять при решении задач структуры данных (списки, словари, стеки, очереди, деревья), использовать базовые операции со структурами данных, применять стандартные и собственные подпрограммы для обработки числовых данных и символьных строк, использовать при разработке программ библиотеки подпрограмм, знать функциональные возможности инструментальных средств среды разработки, умение использовать средства отладки программ в среде программирования, умение документировать программы;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умение создавать веб-страницы;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владение основными сведениями о базах данных, их структуре, средствах создания и работы с ними, умение использовать табличные (реляционные) базы данных (составлять запросы в базах данных, выполнять сортировку и поиск записей в базе данных, наполнять разработанную базу данных) и справочные системы;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средств цифровых технологий, понимание возможностей цифровых сервисов государственных услуг, цифровых образовательных сервисов;</w:t>
      </w:r>
    </w:p>
    <w:p w:rsidR="00596285" w:rsidRPr="006F7AA6" w:rsidRDefault="0016735D">
      <w:pPr>
        <w:spacing w:after="0" w:line="264" w:lineRule="auto"/>
        <w:ind w:firstLine="600"/>
        <w:jc w:val="both"/>
        <w:rPr>
          <w:lang w:val="ru-RU"/>
        </w:rPr>
      </w:pPr>
      <w:r w:rsidRPr="006F7AA6">
        <w:rPr>
          <w:rFonts w:ascii="Times New Roman" w:hAnsi="Times New Roman"/>
          <w:color w:val="000000"/>
          <w:sz w:val="28"/>
          <w:lang w:val="ru-RU"/>
        </w:rPr>
        <w:t>понимание основных принципов работы, возможностей и ограничения применения технологий искусственного интеллекта в различных областях, наличие представлений о круге решаемых задач машинного обучения (распознавания, классификации и прогнозирования) наличие представлений об использовании информационных технологий в различных профессиональных сферах.</w:t>
      </w:r>
    </w:p>
    <w:p w:rsidR="00596285" w:rsidRPr="006F7AA6" w:rsidRDefault="00596285">
      <w:pPr>
        <w:rPr>
          <w:lang w:val="ru-RU"/>
        </w:rPr>
        <w:sectPr w:rsidR="00596285" w:rsidRPr="006F7AA6">
          <w:pgSz w:w="11906" w:h="16383"/>
          <w:pgMar w:top="1134" w:right="850" w:bottom="1134" w:left="1701" w:header="720" w:footer="720" w:gutter="0"/>
          <w:cols w:space="720"/>
        </w:sectPr>
      </w:pPr>
    </w:p>
    <w:p w:rsidR="00596285" w:rsidRDefault="0016735D">
      <w:pPr>
        <w:spacing w:after="0"/>
        <w:ind w:left="120"/>
      </w:pPr>
      <w:bookmarkStart w:id="4" w:name="block-4200831"/>
      <w:bookmarkEnd w:id="3"/>
      <w:r w:rsidRPr="006F7AA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96285" w:rsidRDefault="001673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596285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6285" w:rsidRDefault="00596285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96285" w:rsidRDefault="0059628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6285" w:rsidRDefault="005962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6285" w:rsidRDefault="00596285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96285" w:rsidRDefault="00596285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96285" w:rsidRDefault="00596285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96285" w:rsidRDefault="0059628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6285" w:rsidRDefault="00596285"/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Pr="006F7AA6" w:rsidRDefault="0016735D">
            <w:pPr>
              <w:spacing w:after="0"/>
              <w:ind w:left="135"/>
              <w:rPr>
                <w:lang w:val="ru-RU"/>
              </w:rPr>
            </w:pPr>
            <w:r w:rsidRPr="006F7AA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- универсальное устройство обработки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 w:rsidRPr="006F7A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6285" w:rsidRDefault="00596285"/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арифметика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6285" w:rsidRDefault="00596285"/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Вспомогательные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массивов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6285" w:rsidRDefault="00596285"/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документов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/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6285" w:rsidRPr="006F7AA6" w:rsidRDefault="0016735D">
            <w:pPr>
              <w:spacing w:after="0"/>
              <w:ind w:left="135"/>
              <w:rPr>
                <w:lang w:val="ru-RU"/>
              </w:rPr>
            </w:pPr>
            <w:r w:rsidRPr="006F7A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 w:rsidRPr="006F7A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96285" w:rsidRDefault="00596285"/>
        </w:tc>
      </w:tr>
    </w:tbl>
    <w:p w:rsidR="00596285" w:rsidRDefault="00596285">
      <w:pPr>
        <w:sectPr w:rsidR="0059628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6285" w:rsidRDefault="0016735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59628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6285" w:rsidRDefault="0059628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96285" w:rsidRDefault="0059628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6285" w:rsidRDefault="005962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6285" w:rsidRDefault="0059628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96285" w:rsidRDefault="0059628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96285" w:rsidRDefault="0059628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96285" w:rsidRDefault="0059628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6285" w:rsidRDefault="00596285"/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59628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6285" w:rsidRDefault="00596285"/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59628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объектно-ориентированного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6285" w:rsidRDefault="00596285"/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59628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Веб-сайты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6285" w:rsidRDefault="00596285"/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96285" w:rsidRDefault="00596285">
            <w:pPr>
              <w:spacing w:after="0"/>
              <w:ind w:left="135"/>
            </w:pPr>
          </w:p>
        </w:tc>
      </w:tr>
      <w:tr w:rsidR="005962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6285" w:rsidRPr="006F7AA6" w:rsidRDefault="0016735D">
            <w:pPr>
              <w:spacing w:after="0"/>
              <w:ind w:left="135"/>
              <w:rPr>
                <w:lang w:val="ru-RU"/>
              </w:rPr>
            </w:pPr>
            <w:r w:rsidRPr="006F7A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 w:rsidRPr="006F7A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96285" w:rsidRDefault="001673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96285" w:rsidRDefault="00596285"/>
        </w:tc>
      </w:tr>
    </w:tbl>
    <w:p w:rsidR="00596285" w:rsidRDefault="00596285">
      <w:pPr>
        <w:sectPr w:rsidR="00596285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4"/>
    <w:p w:rsidR="0016735D" w:rsidRDefault="0079066A" w:rsidP="0079066A">
      <w:pPr>
        <w:spacing w:after="0" w:line="480" w:lineRule="auto"/>
        <w:ind w:left="120"/>
      </w:pPr>
      <w:r w:rsidRPr="0079066A">
        <w:rPr>
          <w:noProof/>
          <w:lang w:val="ru-RU" w:eastAsia="ru-RU"/>
        </w:rPr>
        <w:lastRenderedPageBreak/>
        <w:drawing>
          <wp:inline distT="0" distB="0" distL="0" distR="0">
            <wp:extent cx="5732145" cy="8102738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2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16735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285"/>
    <w:rsid w:val="0016735D"/>
    <w:rsid w:val="00316D80"/>
    <w:rsid w:val="00596285"/>
    <w:rsid w:val="006F7AA6"/>
    <w:rsid w:val="0079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3A1F8"/>
  <w15:docId w15:val="{064D86B1-A59B-4FF8-BD08-823A72248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6701</Words>
  <Characters>38199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</dc:creator>
  <cp:lastModifiedBy>207</cp:lastModifiedBy>
  <cp:revision>2</cp:revision>
  <dcterms:created xsi:type="dcterms:W3CDTF">2023-09-19T12:55:00Z</dcterms:created>
  <dcterms:modified xsi:type="dcterms:W3CDTF">2023-09-19T12:55:00Z</dcterms:modified>
</cp:coreProperties>
</file>